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E884" w14:textId="77777777" w:rsidR="001B0560" w:rsidRDefault="001B0560" w:rsidP="001B0560">
      <w:r>
        <w:t>Název investora:</w:t>
      </w:r>
      <w:r>
        <w:tab/>
      </w:r>
      <w:r w:rsidRPr="001B0560">
        <w:t>Správa železnic, státní organizace</w:t>
      </w:r>
    </w:p>
    <w:p w14:paraId="24750C30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39614735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63F597D0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5FCE056A" w14:textId="77777777" w:rsidR="001B0560" w:rsidRDefault="001B0560" w:rsidP="001B0560"/>
    <w:p w14:paraId="7DB2A133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48DF1EBB" w14:textId="48564DFD" w:rsidR="001B0560" w:rsidRPr="00C609E5" w:rsidRDefault="00C609E5" w:rsidP="00C609E5">
      <w:pPr>
        <w:ind w:left="3540" w:hanging="3540"/>
      </w:pPr>
      <w:r>
        <w:t>investiční akce malého rozsahu:</w:t>
      </w:r>
      <w:r>
        <w:tab/>
      </w:r>
      <w:r w:rsidRPr="00C609E5">
        <w:rPr>
          <w:b/>
        </w:rPr>
        <w:t>Doplnění závor na přejezdu P3</w:t>
      </w:r>
      <w:r w:rsidR="002414E1">
        <w:rPr>
          <w:b/>
        </w:rPr>
        <w:t>93</w:t>
      </w:r>
      <w:r w:rsidRPr="00C609E5">
        <w:rPr>
          <w:b/>
        </w:rPr>
        <w:t>7</w:t>
      </w:r>
      <w:r w:rsidR="002414E1">
        <w:rPr>
          <w:b/>
        </w:rPr>
        <w:t xml:space="preserve"> v km 121,766 </w:t>
      </w:r>
      <w:r w:rsidRPr="00C609E5">
        <w:rPr>
          <w:b/>
        </w:rPr>
        <w:t xml:space="preserve">trati </w:t>
      </w:r>
      <w:r w:rsidR="002414E1">
        <w:rPr>
          <w:b/>
        </w:rPr>
        <w:t>Hrušovany nad Jevišovkou – Brno – Hor. Heršpice – St. silnice</w:t>
      </w:r>
    </w:p>
    <w:p w14:paraId="32AAD9DB" w14:textId="77777777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5F746BF1" w14:textId="77777777" w:rsidR="001B0560" w:rsidRDefault="001B0560" w:rsidP="001B0560"/>
    <w:p w14:paraId="105DDE09" w14:textId="346F9619" w:rsidR="001B0560" w:rsidRPr="00213151" w:rsidRDefault="001B0560" w:rsidP="001B0560">
      <w:pPr>
        <w:spacing w:after="120"/>
      </w:pPr>
      <w:r>
        <w:t>Číslo projektu:</w:t>
      </w:r>
      <w:r w:rsidR="00BF1C86">
        <w:tab/>
      </w:r>
      <w:r w:rsidR="00BF1C86">
        <w:tab/>
      </w:r>
      <w:r w:rsidR="00BF1C86">
        <w:tab/>
      </w:r>
      <w:r w:rsidR="00C609E5">
        <w:tab/>
      </w:r>
      <w:r w:rsidRPr="00213151">
        <w:t>S</w:t>
      </w:r>
      <w:r w:rsidR="00E1085B" w:rsidRPr="00213151">
        <w:t> </w:t>
      </w:r>
      <w:r w:rsidR="00075695" w:rsidRPr="00213151">
        <w:t>622000367</w:t>
      </w:r>
    </w:p>
    <w:p w14:paraId="7C1BBECE" w14:textId="40F302A4" w:rsidR="001B0560" w:rsidRPr="00C609E5" w:rsidRDefault="001B0560" w:rsidP="00C609E5">
      <w:pPr>
        <w:spacing w:after="120"/>
        <w:ind w:left="3540" w:hanging="3540"/>
      </w:pPr>
      <w:r>
        <w:t xml:space="preserve">Název projektu: </w:t>
      </w:r>
      <w:r>
        <w:tab/>
      </w:r>
      <w:r w:rsidRPr="00C609E5">
        <w:rPr>
          <w:b/>
          <w:i/>
        </w:rPr>
        <w:t>„</w:t>
      </w:r>
      <w:r w:rsidR="00C609E5" w:rsidRPr="00C609E5">
        <w:rPr>
          <w:b/>
          <w:i/>
        </w:rPr>
        <w:t>Doplnění závor na přejezdu P3</w:t>
      </w:r>
      <w:r w:rsidR="002414E1">
        <w:rPr>
          <w:b/>
          <w:i/>
        </w:rPr>
        <w:t>93</w:t>
      </w:r>
      <w:r w:rsidR="00C609E5" w:rsidRPr="00C609E5">
        <w:rPr>
          <w:b/>
          <w:i/>
        </w:rPr>
        <w:t xml:space="preserve">7 v km </w:t>
      </w:r>
      <w:r w:rsidR="002414E1">
        <w:rPr>
          <w:b/>
          <w:i/>
        </w:rPr>
        <w:t>121,766</w:t>
      </w:r>
      <w:r w:rsidR="00C609E5" w:rsidRPr="00C609E5">
        <w:rPr>
          <w:b/>
          <w:i/>
        </w:rPr>
        <w:t xml:space="preserve"> trati </w:t>
      </w:r>
      <w:r w:rsidR="002414E1">
        <w:rPr>
          <w:b/>
          <w:i/>
        </w:rPr>
        <w:t>Hrušovany nad Jevišovkou  - Brno –Hor. Heršpice – St. silnice</w:t>
      </w:r>
      <w:r w:rsidRPr="00C609E5">
        <w:rPr>
          <w:b/>
          <w:i/>
        </w:rPr>
        <w:t>“</w:t>
      </w:r>
    </w:p>
    <w:p w14:paraId="4F73E63D" w14:textId="26649ACD" w:rsidR="001B0560" w:rsidRDefault="001B0560" w:rsidP="001B0560">
      <w:pPr>
        <w:spacing w:after="120"/>
      </w:pPr>
      <w:r>
        <w:t>Místo realizace (kraj):</w:t>
      </w:r>
      <w:r w:rsidR="00BF1C86">
        <w:tab/>
      </w:r>
      <w:r w:rsidR="00BF1C86">
        <w:tab/>
      </w:r>
      <w:r w:rsidR="00BF1C86">
        <w:tab/>
      </w:r>
      <w:r w:rsidR="002414E1">
        <w:t>Kraj Jihomoravský</w:t>
      </w:r>
      <w:r w:rsidRPr="00AD1F2D">
        <w:t xml:space="preserve"> </w:t>
      </w:r>
    </w:p>
    <w:p w14:paraId="2C548050" w14:textId="54F6FD0F" w:rsidR="001B0560" w:rsidRPr="00E71978" w:rsidRDefault="001B0560" w:rsidP="001B0560">
      <w:pPr>
        <w:spacing w:after="120"/>
      </w:pPr>
      <w:r w:rsidRPr="00E71978">
        <w:t>Čís</w:t>
      </w:r>
      <w:r>
        <w:t>lo železničního přejezdu:</w:t>
      </w:r>
      <w:r>
        <w:tab/>
      </w:r>
      <w:r w:rsidR="00D7415B">
        <w:tab/>
      </w:r>
      <w:r w:rsidRPr="00C609E5">
        <w:t>P</w:t>
      </w:r>
      <w:r w:rsidR="00C609E5" w:rsidRPr="00C609E5">
        <w:t>3</w:t>
      </w:r>
      <w:r w:rsidR="002414E1">
        <w:t>937</w:t>
      </w:r>
    </w:p>
    <w:p w14:paraId="40CB41D9" w14:textId="68F4750D" w:rsidR="001B0560" w:rsidRPr="00E71978" w:rsidRDefault="001B0560" w:rsidP="001B0560">
      <w:pPr>
        <w:spacing w:after="120"/>
      </w:pPr>
      <w:r>
        <w:t>Kód TUDU:</w:t>
      </w:r>
      <w:r>
        <w:tab/>
      </w:r>
      <w:r>
        <w:tab/>
      </w:r>
      <w:r>
        <w:tab/>
      </w:r>
      <w:r>
        <w:tab/>
      </w:r>
      <w:r w:rsidR="00AD1F2D" w:rsidRPr="00AD1F2D">
        <w:t>12</w:t>
      </w:r>
      <w:r w:rsidR="002414E1">
        <w:t>7</w:t>
      </w:r>
      <w:r w:rsidR="00AD1F2D" w:rsidRPr="00AD1F2D">
        <w:t xml:space="preserve">1 </w:t>
      </w:r>
      <w:r w:rsidR="002414E1">
        <w:t>E1</w:t>
      </w:r>
    </w:p>
    <w:p w14:paraId="50A9F1EE" w14:textId="5DA79AD5" w:rsidR="001B0560" w:rsidRPr="00213151" w:rsidRDefault="001B0560" w:rsidP="001B0560">
      <w:pPr>
        <w:spacing w:after="120"/>
      </w:pPr>
      <w:r w:rsidRPr="00E71978">
        <w:t xml:space="preserve">Název definičního traťového </w:t>
      </w:r>
      <w:r w:rsidRPr="00213151">
        <w:t>úseku:</w:t>
      </w:r>
      <w:r w:rsidRPr="00213151">
        <w:tab/>
      </w:r>
      <w:r w:rsidR="002414E1" w:rsidRPr="00213151">
        <w:t>žst. Moravský Krumlov</w:t>
      </w:r>
    </w:p>
    <w:p w14:paraId="22B317F8" w14:textId="5733E943" w:rsidR="001B0560" w:rsidRPr="00213151" w:rsidRDefault="001B0560" w:rsidP="001B0560">
      <w:pPr>
        <w:spacing w:after="120"/>
      </w:pPr>
      <w:r w:rsidRPr="00213151">
        <w:t>Evidenční km - poloha přejezdu:</w:t>
      </w:r>
      <w:r w:rsidRPr="00213151">
        <w:tab/>
      </w:r>
      <w:r w:rsidR="002414E1" w:rsidRPr="00213151">
        <w:t>121,766</w:t>
      </w:r>
    </w:p>
    <w:p w14:paraId="4BAB5D22" w14:textId="05F289BE" w:rsidR="001B0560" w:rsidRPr="00213151" w:rsidRDefault="00BF1C86" w:rsidP="001B0560">
      <w:pPr>
        <w:spacing w:after="120"/>
      </w:pPr>
      <w:r w:rsidRPr="00213151">
        <w:t>Předpokládaná doba realizace:</w:t>
      </w:r>
      <w:r w:rsidRPr="00213151">
        <w:tab/>
      </w:r>
      <w:r w:rsidRPr="00213151">
        <w:tab/>
      </w:r>
      <w:r w:rsidR="001B0560" w:rsidRPr="00213151">
        <w:t>9 měsíců, v letech 0</w:t>
      </w:r>
      <w:r w:rsidR="00213151" w:rsidRPr="00213151">
        <w:t>4</w:t>
      </w:r>
      <w:r w:rsidR="001B0560" w:rsidRPr="00213151">
        <w:t>/202</w:t>
      </w:r>
      <w:r w:rsidR="00AD1F2D" w:rsidRPr="00213151">
        <w:t>2</w:t>
      </w:r>
      <w:r w:rsidR="001B0560" w:rsidRPr="00213151">
        <w:t>-</w:t>
      </w:r>
      <w:r w:rsidR="00213151" w:rsidRPr="00213151">
        <w:t>12</w:t>
      </w:r>
      <w:r w:rsidR="001B0560" w:rsidRPr="00213151">
        <w:t>/202</w:t>
      </w:r>
      <w:r w:rsidR="00AD1F2D" w:rsidRPr="00213151">
        <w:t>2</w:t>
      </w:r>
    </w:p>
    <w:p w14:paraId="56508DF3" w14:textId="26A60674" w:rsidR="002414E1" w:rsidRDefault="00075695" w:rsidP="001B0560">
      <w:pPr>
        <w:spacing w:after="120"/>
        <w:rPr>
          <w:noProof/>
          <w:lang w:eastAsia="cs-CZ"/>
        </w:rPr>
      </w:pPr>
      <w:r w:rsidRPr="00075695">
        <w:rPr>
          <w:noProof/>
          <w:lang w:eastAsia="cs-CZ"/>
        </w:rPr>
        <w:drawing>
          <wp:inline distT="0" distB="0" distL="0" distR="0" wp14:anchorId="19433784" wp14:editId="5492405E">
            <wp:extent cx="4431030" cy="2611526"/>
            <wp:effectExtent l="0" t="0" r="7620" b="0"/>
            <wp:docPr id="4" name="Obrázek 4" descr="O:\KÁJA\ROK 2020\Stavby 2020\Dopnění závor P3937 v km 121,766\Finální\Situace P3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KÁJA\ROK 2020\Stavby 2020\Dopnění závor P3937 v km 121,766\Finální\Situace P39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6248" cy="2632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70FB7" w14:textId="77777777" w:rsidR="002414E1" w:rsidRDefault="002414E1" w:rsidP="001B0560">
      <w:pPr>
        <w:spacing w:after="120"/>
      </w:pPr>
    </w:p>
    <w:p w14:paraId="6D2F9C26" w14:textId="77777777" w:rsidR="001B0560" w:rsidRDefault="001B0560" w:rsidP="000C0635">
      <w:pPr>
        <w:pStyle w:val="Nadpis2"/>
        <w:spacing w:before="120" w:after="120"/>
      </w:pPr>
      <w:r>
        <w:t>2)</w:t>
      </w:r>
      <w:r>
        <w:tab/>
      </w:r>
      <w:r w:rsidRPr="00BE5D5D">
        <w:t>Zdůvodnění potřebnosti investiční akce</w:t>
      </w:r>
    </w:p>
    <w:p w14:paraId="78BAC7F6" w14:textId="77777777" w:rsidR="001602EC" w:rsidRPr="00213151" w:rsidRDefault="001B0560" w:rsidP="000C0635">
      <w:pPr>
        <w:autoSpaceDE w:val="0"/>
        <w:autoSpaceDN w:val="0"/>
        <w:adjustRightInd w:val="0"/>
        <w:spacing w:before="120" w:after="120"/>
        <w:jc w:val="both"/>
        <w:rPr>
          <w:rFonts w:cs="Arial"/>
          <w:szCs w:val="20"/>
        </w:rPr>
      </w:pPr>
      <w:r w:rsidRPr="00213151">
        <w:rPr>
          <w:rFonts w:cs="Arial"/>
          <w:szCs w:val="20"/>
        </w:rPr>
        <w:t xml:space="preserve">Účelem stavby je změnit </w:t>
      </w:r>
      <w:r w:rsidR="006C07BE" w:rsidRPr="00213151">
        <w:rPr>
          <w:rFonts w:cs="Arial"/>
          <w:szCs w:val="20"/>
        </w:rPr>
        <w:t>rozsah</w:t>
      </w:r>
      <w:r w:rsidRPr="00213151">
        <w:rPr>
          <w:rFonts w:cs="Arial"/>
          <w:szCs w:val="20"/>
        </w:rPr>
        <w:t xml:space="preserve"> zabezpečení řešeného železničního přejezdu, který je </w:t>
      </w:r>
      <w:r w:rsidRPr="00213151">
        <w:rPr>
          <w:rFonts w:cs="Arial"/>
          <w:szCs w:val="20"/>
        </w:rPr>
        <w:br/>
        <w:t xml:space="preserve">v současnosti zabezpečený pouze světelným přejezdovým zabezpečovacím zařízením </w:t>
      </w:r>
      <w:r w:rsidRPr="00213151">
        <w:rPr>
          <w:rFonts w:cs="Arial"/>
          <w:szCs w:val="20"/>
        </w:rPr>
        <w:br/>
        <w:t>bez závor.</w:t>
      </w:r>
    </w:p>
    <w:p w14:paraId="30961683" w14:textId="3D5F2949" w:rsidR="00197633" w:rsidRPr="00213151" w:rsidRDefault="00197633" w:rsidP="000C0635">
      <w:pPr>
        <w:autoSpaceDE w:val="0"/>
        <w:autoSpaceDN w:val="0"/>
        <w:adjustRightInd w:val="0"/>
        <w:spacing w:before="120" w:after="120"/>
        <w:jc w:val="both"/>
      </w:pPr>
      <w:r w:rsidRPr="00213151">
        <w:t>Z hlediska lokalizace vůči dráze se předmětná stavba nachází na traťovém úseku 12</w:t>
      </w:r>
      <w:r w:rsidR="002414E1" w:rsidRPr="00213151">
        <w:t>7</w:t>
      </w:r>
      <w:r w:rsidRPr="00213151">
        <w:t xml:space="preserve">1 </w:t>
      </w:r>
      <w:r w:rsidR="002414E1" w:rsidRPr="00213151">
        <w:t>Hrušovany nad Jevišovkou (mimo – Brno) Hor. Heršpice – St. silnice</w:t>
      </w:r>
      <w:r w:rsidRPr="00213151">
        <w:t>. Stavbou je konkrétně dotčen definiční úsek 12</w:t>
      </w:r>
      <w:r w:rsidR="002414E1" w:rsidRPr="00213151">
        <w:t>7</w:t>
      </w:r>
      <w:r w:rsidRPr="00213151">
        <w:t xml:space="preserve">1 </w:t>
      </w:r>
      <w:r w:rsidR="002414E1" w:rsidRPr="00213151">
        <w:t>E1  žst. Moravský Krumlov</w:t>
      </w:r>
      <w:r w:rsidRPr="00213151">
        <w:t xml:space="preserve">. V místě stavby se jedná o jednokolejnou </w:t>
      </w:r>
      <w:r w:rsidR="002414E1" w:rsidRPr="00213151">
        <w:t>ne</w:t>
      </w:r>
      <w:r w:rsidRPr="00213151">
        <w:t xml:space="preserve">elektrizovanou </w:t>
      </w:r>
      <w:r w:rsidR="002414E1" w:rsidRPr="00213151">
        <w:t>regionál</w:t>
      </w:r>
      <w:r w:rsidRPr="00213151">
        <w:t>ní dráhu, která není součástí transevropské</w:t>
      </w:r>
      <w:r w:rsidR="00431065" w:rsidRPr="00213151">
        <w:t>ho</w:t>
      </w:r>
      <w:r w:rsidRPr="00213151">
        <w:t xml:space="preserve"> konvenčního železničního systému (TEN-T).</w:t>
      </w:r>
    </w:p>
    <w:p w14:paraId="6C108689" w14:textId="4BBF9C21" w:rsidR="008069F3" w:rsidRPr="00213151" w:rsidRDefault="00197633" w:rsidP="000C0635">
      <w:pPr>
        <w:autoSpaceDE w:val="0"/>
        <w:autoSpaceDN w:val="0"/>
        <w:adjustRightInd w:val="0"/>
        <w:spacing w:before="120" w:after="120"/>
        <w:jc w:val="both"/>
      </w:pPr>
      <w:r w:rsidRPr="00213151">
        <w:t>Železniční přejezd P3</w:t>
      </w:r>
      <w:r w:rsidR="002414E1" w:rsidRPr="00213151">
        <w:t>937</w:t>
      </w:r>
      <w:r w:rsidRPr="00213151">
        <w:t xml:space="preserve"> je úrovňovým křížením silnice II</w:t>
      </w:r>
      <w:r w:rsidR="002414E1" w:rsidRPr="00213151">
        <w:t>I. třídy č. 4133</w:t>
      </w:r>
      <w:r w:rsidRPr="00213151">
        <w:t xml:space="preserve"> </w:t>
      </w:r>
      <w:r w:rsidR="008069F3" w:rsidRPr="00213151">
        <w:t xml:space="preserve">(Jezeřany – Moravský Krumlov) </w:t>
      </w:r>
      <w:r w:rsidRPr="00213151">
        <w:t xml:space="preserve">s výše uvedenou dráhou </w:t>
      </w:r>
      <w:r w:rsidR="008069F3" w:rsidRPr="00213151">
        <w:t xml:space="preserve">v ŽST Moravský Krumlov. </w:t>
      </w:r>
    </w:p>
    <w:p w14:paraId="08EA7A08" w14:textId="1A29E2DD" w:rsidR="00197633" w:rsidRPr="00213151" w:rsidRDefault="00197633" w:rsidP="000C0635">
      <w:pPr>
        <w:autoSpaceDE w:val="0"/>
        <w:autoSpaceDN w:val="0"/>
        <w:adjustRightInd w:val="0"/>
        <w:spacing w:before="120" w:after="120"/>
        <w:jc w:val="both"/>
      </w:pPr>
      <w:r w:rsidRPr="00213151">
        <w:t xml:space="preserve">Z hlediska lokalizace vůči dráze se předmětný přejezd nachází v evidenčním km </w:t>
      </w:r>
      <w:r w:rsidR="00E34FF3" w:rsidRPr="00213151">
        <w:t>121,766</w:t>
      </w:r>
      <w:r w:rsidRPr="00213151">
        <w:t xml:space="preserve"> výše uvedeného traťového úseku.</w:t>
      </w:r>
    </w:p>
    <w:p w14:paraId="2658419A" w14:textId="7C28865D" w:rsidR="00197633" w:rsidRPr="00213151" w:rsidRDefault="00197633" w:rsidP="000C0635">
      <w:pPr>
        <w:autoSpaceDE w:val="0"/>
        <w:autoSpaceDN w:val="0"/>
        <w:adjustRightInd w:val="0"/>
        <w:spacing w:before="120" w:after="120"/>
        <w:jc w:val="both"/>
      </w:pPr>
      <w:r w:rsidRPr="00213151">
        <w:t xml:space="preserve">Z hlediska geografické lokalizace se stavba nachází v obci </w:t>
      </w:r>
      <w:r w:rsidR="00E34FF3" w:rsidRPr="00213151">
        <w:t>Moravský Krumlov</w:t>
      </w:r>
      <w:r w:rsidRPr="00213151">
        <w:t xml:space="preserve">, okres </w:t>
      </w:r>
      <w:r w:rsidR="00E34FF3" w:rsidRPr="00213151">
        <w:t>Znojmo</w:t>
      </w:r>
      <w:r w:rsidRPr="00213151">
        <w:t xml:space="preserve">, Kraj </w:t>
      </w:r>
      <w:r w:rsidR="00E34FF3" w:rsidRPr="00213151">
        <w:t>Jihomoravský</w:t>
      </w:r>
      <w:r w:rsidRPr="00213151">
        <w:t>.</w:t>
      </w:r>
    </w:p>
    <w:p w14:paraId="27B09D8D" w14:textId="77777777" w:rsidR="00F5489D" w:rsidRPr="00213151" w:rsidRDefault="00F5489D" w:rsidP="000C0635">
      <w:pPr>
        <w:autoSpaceDE w:val="0"/>
        <w:autoSpaceDN w:val="0"/>
        <w:adjustRightInd w:val="0"/>
        <w:spacing w:before="120" w:after="120"/>
        <w:jc w:val="both"/>
      </w:pPr>
      <w:r w:rsidRPr="00213151">
        <w:t xml:space="preserve">Přejezd je zabezpečen reléovým přejezdovým zabezpečovacím zařízením s elektronickými doplňky </w:t>
      </w:r>
      <w:r w:rsidRPr="00213151">
        <w:rPr>
          <w:rFonts w:cs="Arial"/>
        </w:rPr>
        <w:t>typu PZZ-RE,</w:t>
      </w:r>
      <w:r w:rsidRPr="00213151">
        <w:t xml:space="preserve"> </w:t>
      </w:r>
      <w:r w:rsidRPr="00213151">
        <w:rPr>
          <w:rFonts w:cs="Arial"/>
        </w:rPr>
        <w:t xml:space="preserve">kategorie PZS 3SNI dle ČSN 34 2650 ed.2, tj. </w:t>
      </w:r>
      <w:r w:rsidRPr="00213151">
        <w:t>s úplnými závislostmi bez závor bez pozitivního signálu. Nejvyšší rychlost v obvodu přejezdu je 70 km/h.</w:t>
      </w:r>
    </w:p>
    <w:p w14:paraId="09AC0C60" w14:textId="659492C2" w:rsidR="001B0560" w:rsidRPr="00213151" w:rsidRDefault="001B0560" w:rsidP="000C0635">
      <w:pPr>
        <w:autoSpaceDE w:val="0"/>
        <w:autoSpaceDN w:val="0"/>
        <w:adjustRightInd w:val="0"/>
        <w:spacing w:before="120" w:after="120"/>
        <w:jc w:val="both"/>
      </w:pPr>
      <w:r w:rsidRPr="00213151">
        <w:t xml:space="preserve">Na přejezdu jsou od roku </w:t>
      </w:r>
      <w:r w:rsidR="003B60E3" w:rsidRPr="00213151">
        <w:t>r 2000</w:t>
      </w:r>
      <w:r w:rsidRPr="00213151">
        <w:t xml:space="preserve"> evidovány </w:t>
      </w:r>
      <w:r w:rsidR="003B60E3" w:rsidRPr="00213151">
        <w:t>2</w:t>
      </w:r>
      <w:r w:rsidRPr="00213151">
        <w:t xml:space="preserve"> střetnutí:</w:t>
      </w:r>
    </w:p>
    <w:p w14:paraId="59C25CFB" w14:textId="1796805F" w:rsidR="003B60E3" w:rsidRPr="003B60E3" w:rsidRDefault="003B60E3" w:rsidP="000C0635">
      <w:pPr>
        <w:autoSpaceDE w:val="0"/>
        <w:autoSpaceDN w:val="0"/>
        <w:adjustRightInd w:val="0"/>
        <w:spacing w:before="120" w:after="120"/>
        <w:jc w:val="both"/>
      </w:pPr>
      <w:r w:rsidRPr="003B60E3">
        <w:t>9.</w:t>
      </w:r>
      <w:r w:rsidR="00213151">
        <w:t xml:space="preserve"> </w:t>
      </w:r>
      <w:r w:rsidRPr="003B60E3">
        <w:t>8.</w:t>
      </w:r>
      <w:r w:rsidR="00213151">
        <w:t xml:space="preserve"> </w:t>
      </w:r>
      <w:r w:rsidRPr="003B60E3">
        <w:t>2001</w:t>
      </w:r>
      <w:r w:rsidRPr="003B60E3">
        <w:tab/>
        <w:t>střetnutí vlaku Os 4407 na železničním přejezdu (PZZ bez závor) s osobním vozidlem. Silniční vozidlo jelo ve směru od Moravského Krumlova (vlevo trati) do Jezeřan a Pohořelic (vpravo trati). Nehoda bez zranění nebo úmrtí osob.</w:t>
      </w:r>
    </w:p>
    <w:p w14:paraId="1075EA5E" w14:textId="21402C69" w:rsidR="003B60E3" w:rsidRPr="00A27BCB" w:rsidRDefault="003B60E3" w:rsidP="000C0635">
      <w:pPr>
        <w:autoSpaceDE w:val="0"/>
        <w:autoSpaceDN w:val="0"/>
        <w:adjustRightInd w:val="0"/>
        <w:spacing w:before="120" w:after="120"/>
        <w:jc w:val="both"/>
        <w:rPr>
          <w:color w:val="FF0000"/>
        </w:rPr>
      </w:pPr>
      <w:r w:rsidRPr="003B60E3">
        <w:t>22.</w:t>
      </w:r>
      <w:r w:rsidR="00213151">
        <w:t xml:space="preserve"> </w:t>
      </w:r>
      <w:r w:rsidRPr="003B60E3">
        <w:t>8.</w:t>
      </w:r>
      <w:r w:rsidR="00213151">
        <w:t xml:space="preserve"> </w:t>
      </w:r>
      <w:r w:rsidRPr="003B60E3">
        <w:t>2016</w:t>
      </w:r>
      <w:r w:rsidRPr="003B60E3">
        <w:tab/>
        <w:t>střetnutí vlaku Sp 1923 na železničním přejezdu (PZZ bez závor) s osobním vozidlem. Silniční vozidlo jelo od Jezeřan a Pohořelic (vlevo trati) ve směru do Moravského Krumlova (vpravo trati). Nehoda s jednou osobou lehce zraněnou a bez úmrtí osob</w:t>
      </w:r>
    </w:p>
    <w:p w14:paraId="242E453A" w14:textId="5674ADC6" w:rsidR="001B0560" w:rsidRPr="00A27BCB" w:rsidRDefault="001B0560" w:rsidP="00D20D30">
      <w:pPr>
        <w:autoSpaceDE w:val="0"/>
        <w:autoSpaceDN w:val="0"/>
        <w:adjustRightInd w:val="0"/>
        <w:spacing w:after="120"/>
        <w:ind w:left="2124" w:hanging="1416"/>
        <w:jc w:val="both"/>
        <w:rPr>
          <w:color w:val="FF0000"/>
        </w:rPr>
      </w:pPr>
      <w:r w:rsidRPr="00A27BCB">
        <w:rPr>
          <w:color w:val="FF0000"/>
        </w:rPr>
        <w:tab/>
      </w:r>
    </w:p>
    <w:p w14:paraId="1E227CD1" w14:textId="77777777" w:rsidR="001B0560" w:rsidRDefault="001B0560" w:rsidP="000C0635">
      <w:pPr>
        <w:pStyle w:val="Nadpis2"/>
        <w:spacing w:before="120" w:after="120"/>
      </w:pPr>
      <w:r>
        <w:t>3)</w:t>
      </w:r>
      <w:r>
        <w:tab/>
        <w:t>P</w:t>
      </w:r>
      <w:r w:rsidRPr="00BE5D5D">
        <w:t>opis technického řešení</w:t>
      </w:r>
    </w:p>
    <w:p w14:paraId="68B7D31D" w14:textId="32FC9660" w:rsidR="00162C73" w:rsidRPr="00213151" w:rsidRDefault="00FC4665" w:rsidP="004D3915">
      <w:pPr>
        <w:spacing w:before="120" w:after="120"/>
        <w:jc w:val="both"/>
      </w:pPr>
      <w:r w:rsidRPr="00213151">
        <w:t xml:space="preserve">Předmětem stavby je </w:t>
      </w:r>
      <w:r>
        <w:t>výstavba nového</w:t>
      </w:r>
      <w:r w:rsidRPr="00213151">
        <w:t xml:space="preserve"> přejez</w:t>
      </w:r>
      <w:r w:rsidR="004D3915">
        <w:t xml:space="preserve">dového zabezpečovacího zařízení </w:t>
      </w:r>
      <w:r w:rsidRPr="00FC4665">
        <w:t>3.</w:t>
      </w:r>
      <w:r w:rsidR="004D3915">
        <w:t> </w:t>
      </w:r>
      <w:r w:rsidRPr="00FC4665">
        <w:t>kategorie dle TNŽ 342620, druhu PZS 3Z</w:t>
      </w:r>
      <w:r w:rsidR="002E3F18">
        <w:t>N</w:t>
      </w:r>
      <w:r w:rsidRPr="00FC4665">
        <w:t>I dle ČSN 34 2650 ed.2 se závorami. Závorové břevna jsou požadovány s LED diodami</w:t>
      </w:r>
      <w:r w:rsidR="004D3915">
        <w:t>.</w:t>
      </w:r>
      <w:r w:rsidRPr="00FC4665">
        <w:t xml:space="preserve"> Je nutno prověřit, zda je možné na přejezdu zřídit sekvenční sklápění závor. Pokud toto řešení bude možné, musí být přednostně navrženo sekvenční sklápění závor. Přesný počet výstražníků bude upřesněn v rámci rozhodnutí Drážního úřadu o změně zabezpečení. </w:t>
      </w:r>
      <w:r w:rsidR="00162C73" w:rsidRPr="00213151">
        <w:t xml:space="preserve">Pro volnost přibližovacích úseků budou využity stávající počítače náprav fy FRAUSCHER, typ AZF. Změnou délky přejezdu dojde ke změně uspořádání ovládacích úseků - ovládací úseky přejezdu budou koncipovány pro traťovou rychlost 70 km/hod. Pro omezení poškození počítacích bodů PCN atmosférickými vlivy bude v jejich blízkosti provedena pasivní ochrana propojením a uzemněním kolejnicových pásů.  </w:t>
      </w:r>
    </w:p>
    <w:p w14:paraId="1CEFB037" w14:textId="3F70099C" w:rsidR="00162C73" w:rsidRPr="00213151" w:rsidRDefault="00162C73" w:rsidP="000C0635">
      <w:pPr>
        <w:spacing w:before="120" w:after="120"/>
        <w:jc w:val="both"/>
      </w:pPr>
      <w:r w:rsidRPr="00213151">
        <w:t>Vzhledem k nevyhovujícímu stavu stávajícího reléového domku (RD) PZS - laminátový repasovaný, nemožnost rozšíření stávajícího reléového stojanu, bude pro technologii PZS v blízkosti přejezdu osazen nový reléový domek. Umístěn bude tak, aby byly splněny předepsané rozhledové poměry. Umístění technologického objektu do terénu bude řešeno dle pokynů výrobce (např. na betonové patky).</w:t>
      </w:r>
      <w:r w:rsidR="00492DD9" w:rsidRPr="00492DD9">
        <w:t xml:space="preserve"> </w:t>
      </w:r>
      <w:r w:rsidR="00492DD9">
        <w:t>Vstupní dveře do RD budou v takovém provedení, aby při chůzi z RD ke skříni s VTO a SMO nebylo nutné obcházet křídlo dveří. VTO a SMO umístit  na/v blízkosti RD. Dveře technologického domku budou osazeny dveřním kontaktem pro budoucí zapojení do DDTS.</w:t>
      </w:r>
    </w:p>
    <w:p w14:paraId="0A9597B2" w14:textId="77777777" w:rsidR="00162C73" w:rsidRPr="00B734B3" w:rsidRDefault="00162C73" w:rsidP="000C0635">
      <w:pPr>
        <w:spacing w:before="120" w:after="120"/>
        <w:jc w:val="both"/>
        <w:rPr>
          <w:rFonts w:cs="Arial"/>
          <w:color w:val="000000" w:themeColor="text1"/>
        </w:rPr>
      </w:pPr>
      <w:r w:rsidRPr="00213151">
        <w:t xml:space="preserve">Nová kabelizace se předpokládá v místě přejezdu od reléového domku k výstražníkům se závorovými stojany. Stavba je umístěna kromě částí kabelizace v extravilánu, tím pádem nebude mít výrazný urbanistický, či architektonický dopad. Budou použity typizované výrobky-  </w:t>
      </w:r>
      <w:r w:rsidRPr="00213151">
        <w:lastRenderedPageBreak/>
        <w:t xml:space="preserve">výstražníky se závorami. </w:t>
      </w:r>
      <w:r w:rsidRPr="00213151">
        <w:rPr>
          <w:rFonts w:cs="Arial"/>
        </w:rPr>
        <w:t xml:space="preserve">Počty a dimenze kabelů budou stanoveny v průběhu zpracování </w:t>
      </w:r>
      <w:r w:rsidRPr="00B734B3">
        <w:rPr>
          <w:rFonts w:cs="Arial"/>
          <w:color w:val="000000" w:themeColor="text1"/>
        </w:rPr>
        <w:t xml:space="preserve">projektové dokumentace. </w:t>
      </w:r>
    </w:p>
    <w:p w14:paraId="2CEEC267" w14:textId="3575876B" w:rsidR="00CA138B" w:rsidRPr="00B734B3" w:rsidRDefault="00CA138B" w:rsidP="000C0635">
      <w:pPr>
        <w:spacing w:before="120" w:after="120"/>
        <w:jc w:val="both"/>
        <w:rPr>
          <w:color w:val="000000" w:themeColor="text1"/>
        </w:rPr>
      </w:pPr>
      <w:r w:rsidRPr="00B734B3">
        <w:rPr>
          <w:color w:val="000000" w:themeColor="text1"/>
        </w:rPr>
        <w:t xml:space="preserve">Přejezd napojen kabelem SSZT z technologie SSZT z rozvaděče RZZ. Napojení PZS zůstane zachováno ze stávajícího odběrného místa. </w:t>
      </w:r>
      <w:r w:rsidR="00A536A1">
        <w:rPr>
          <w:color w:val="000000" w:themeColor="text1"/>
        </w:rPr>
        <w:t>Tato elektrická přípojka bude rekonstruována včetně plastového pilíře a nových jistících prvků.</w:t>
      </w:r>
    </w:p>
    <w:p w14:paraId="27A206BF" w14:textId="67811D38" w:rsidR="00CA138B" w:rsidRPr="00B734B3" w:rsidRDefault="00CA138B" w:rsidP="000C0635">
      <w:pPr>
        <w:spacing w:before="120" w:after="120"/>
        <w:jc w:val="both"/>
        <w:rPr>
          <w:color w:val="000000" w:themeColor="text1"/>
        </w:rPr>
      </w:pPr>
      <w:r w:rsidRPr="00B734B3">
        <w:rPr>
          <w:color w:val="000000" w:themeColor="text1"/>
        </w:rPr>
        <w:t xml:space="preserve">Do </w:t>
      </w:r>
      <w:r w:rsidR="005D1EC0">
        <w:rPr>
          <w:color w:val="000000" w:themeColor="text1"/>
        </w:rPr>
        <w:t>projektové dokumentace</w:t>
      </w:r>
      <w:r w:rsidR="005D1EC0" w:rsidRPr="00B734B3">
        <w:rPr>
          <w:color w:val="000000" w:themeColor="text1"/>
        </w:rPr>
        <w:t xml:space="preserve"> </w:t>
      </w:r>
      <w:r w:rsidRPr="00B734B3">
        <w:rPr>
          <w:color w:val="000000" w:themeColor="text1"/>
        </w:rPr>
        <w:t xml:space="preserve">zahrnout případné navýšení odběru el. energie pro technologie SSZT. Součástí </w:t>
      </w:r>
      <w:r w:rsidR="005D1EC0">
        <w:rPr>
          <w:color w:val="000000" w:themeColor="text1"/>
        </w:rPr>
        <w:t>projektové dokumentace</w:t>
      </w:r>
      <w:r w:rsidR="005D1EC0" w:rsidRPr="00B734B3">
        <w:rPr>
          <w:color w:val="000000" w:themeColor="text1"/>
        </w:rPr>
        <w:t xml:space="preserve"> </w:t>
      </w:r>
      <w:r w:rsidRPr="00B734B3">
        <w:rPr>
          <w:color w:val="000000" w:themeColor="text1"/>
        </w:rPr>
        <w:t>bude i kompletní inženýrská činnost (vyjádření, sítě, projektování, včetně úhrady správních poplatků). Součástí stavby bude dle charakteru prací geodetická činnost (zaměření a geodetická dokumentace stavby a dodání kompletní opravené dokumentace UTZ dle skutečného provedení, včetně všech dokumentů nutných pro provozování zařízení UTZ – protokoly UPT, PZ, RZ a ostatní dle vyhl. 100/95 Sb. A zákonu o drahách v platném Znění</w:t>
      </w:r>
    </w:p>
    <w:p w14:paraId="0DE9A5BB" w14:textId="5F4ACEAD" w:rsidR="00CA138B" w:rsidRDefault="005D1EC0" w:rsidP="000C0635">
      <w:pPr>
        <w:spacing w:before="120" w:after="120"/>
        <w:jc w:val="both"/>
        <w:rPr>
          <w:color w:val="000000" w:themeColor="text1"/>
        </w:rPr>
      </w:pPr>
      <w:r>
        <w:rPr>
          <w:color w:val="000000" w:themeColor="text1"/>
        </w:rPr>
        <w:t>Nutno zohlednit</w:t>
      </w:r>
      <w:r w:rsidR="00CA138B" w:rsidRPr="00B734B3">
        <w:rPr>
          <w:color w:val="000000" w:themeColor="text1"/>
        </w:rPr>
        <w:t xml:space="preserve"> další související výkony nutné pro zabezpečení provozuschopnosti dráhy po dobu výstavby a ostatních součinností SEE  (vytyčení, dozor, součinnost při zprovoznění apod.). Součásti stavby musí být i úplná demontáž a likvidace nepoužitelných zařízení</w:t>
      </w:r>
      <w:r w:rsidR="005834B0">
        <w:rPr>
          <w:color w:val="000000" w:themeColor="text1"/>
        </w:rPr>
        <w:t>.</w:t>
      </w:r>
    </w:p>
    <w:p w14:paraId="092E283C" w14:textId="77777777" w:rsidR="004E0752" w:rsidRDefault="005834B0" w:rsidP="000C0635">
      <w:pPr>
        <w:spacing w:before="120" w:after="120"/>
        <w:jc w:val="both"/>
        <w:rPr>
          <w:color w:val="000000" w:themeColor="text1"/>
        </w:rPr>
      </w:pPr>
      <w:r w:rsidRPr="005834B0">
        <w:rPr>
          <w:color w:val="000000" w:themeColor="text1"/>
        </w:rPr>
        <w:t>V</w:t>
      </w:r>
      <w:r>
        <w:rPr>
          <w:color w:val="000000" w:themeColor="text1"/>
        </w:rPr>
        <w:t xml:space="preserve"> těsné </w:t>
      </w:r>
      <w:r w:rsidRPr="005834B0">
        <w:rPr>
          <w:color w:val="000000" w:themeColor="text1"/>
        </w:rPr>
        <w:t>blízkosti přejezdu se nachází křižovatka</w:t>
      </w:r>
      <w:r>
        <w:rPr>
          <w:color w:val="000000" w:themeColor="text1"/>
        </w:rPr>
        <w:t xml:space="preserve"> do ul. U nádraží </w:t>
      </w:r>
      <w:r w:rsidRPr="005834B0">
        <w:rPr>
          <w:color w:val="000000" w:themeColor="text1"/>
        </w:rPr>
        <w:t>v nedostatečné vzdálenosti od hranice nebezpečného pásma přejezdu, na které bude nutné provést změnu</w:t>
      </w:r>
      <w:r>
        <w:rPr>
          <w:color w:val="000000" w:themeColor="text1"/>
        </w:rPr>
        <w:t xml:space="preserve"> </w:t>
      </w:r>
      <w:r w:rsidRPr="005834B0">
        <w:rPr>
          <w:color w:val="000000" w:themeColor="text1"/>
        </w:rPr>
        <w:t>dopravního značení pro bezpečný průjezd silničních vozidel prostorem přejezdu (</w:t>
      </w:r>
      <w:r>
        <w:rPr>
          <w:color w:val="000000" w:themeColor="text1"/>
        </w:rPr>
        <w:t>kolizní levé odbočení</w:t>
      </w:r>
      <w:r w:rsidR="004E0752">
        <w:rPr>
          <w:color w:val="000000" w:themeColor="text1"/>
        </w:rPr>
        <w:t>) v souladu s ČSN 73 6380.</w:t>
      </w:r>
    </w:p>
    <w:p w14:paraId="068B0FBC" w14:textId="4B22F10C" w:rsidR="005834B0" w:rsidRDefault="005834B0" w:rsidP="000C0635">
      <w:pPr>
        <w:spacing w:before="120"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U křižovatky na opačné straně přejezdu budou prověřeny vlečné křivky míjejících se odbočujících vozidel nejdelší délky, které zde mohou odbočit a v případě jejich kolize bude navrženo vhodné dopravní značení, které omezí délku </w:t>
      </w:r>
      <w:r w:rsidR="004E0752">
        <w:rPr>
          <w:color w:val="000000" w:themeColor="text1"/>
        </w:rPr>
        <w:t>vozidel a zajistí soulad s ČSN 73 6380.</w:t>
      </w:r>
    </w:p>
    <w:p w14:paraId="717CF189" w14:textId="71F63F04" w:rsidR="001B0560" w:rsidRPr="00B734B3" w:rsidRDefault="00CA138B" w:rsidP="000C0635">
      <w:pPr>
        <w:spacing w:before="120" w:after="120"/>
        <w:jc w:val="both"/>
        <w:rPr>
          <w:color w:val="000000" w:themeColor="text1"/>
        </w:rPr>
      </w:pPr>
      <w:r w:rsidRPr="00B734B3">
        <w:rPr>
          <w:color w:val="000000" w:themeColor="text1"/>
        </w:rPr>
        <w:t>Musí být respektována Směrnice SŽDC Č. 34 Směrnice pro uvádění do provozu výrobků, které jsou součásti sdělovacích a zabezpečovacích zařízení a zařízení elektrotechniky a energetiky na železniční dopravní cestě ve vlastnictví státu, státní organizace SŽDC s účinností od 1.</w:t>
      </w:r>
      <w:r w:rsidR="002E3F18">
        <w:rPr>
          <w:color w:val="000000" w:themeColor="text1"/>
        </w:rPr>
        <w:t xml:space="preserve"> </w:t>
      </w:r>
      <w:r w:rsidRPr="00B734B3">
        <w:rPr>
          <w:color w:val="000000" w:themeColor="text1"/>
        </w:rPr>
        <w:t>října 2007, v platném znění.</w:t>
      </w:r>
    </w:p>
    <w:p w14:paraId="614B11E6" w14:textId="6F5DBF8B" w:rsidR="001B0560" w:rsidRDefault="001B0560" w:rsidP="000C0635">
      <w:pPr>
        <w:pStyle w:val="Nadpis2"/>
        <w:spacing w:after="0"/>
      </w:pPr>
      <w:r>
        <w:t>4)</w:t>
      </w:r>
      <w:r>
        <w:tab/>
        <w:t>Objektová skladba</w:t>
      </w:r>
    </w:p>
    <w:p w14:paraId="7A8A3932" w14:textId="43719FCD" w:rsidR="001F2EA7" w:rsidRDefault="00A536A1" w:rsidP="000C0635">
      <w:pPr>
        <w:spacing w:before="60" w:after="60"/>
      </w:pPr>
      <w:r>
        <w:tab/>
        <w:t>PS 01-01-31 Zabezpečovací zařízení (PZS) železniční přejezd P3937 v km 121,766</w:t>
      </w:r>
    </w:p>
    <w:p w14:paraId="17FA8B95" w14:textId="2C409E64" w:rsidR="001B0560" w:rsidRDefault="00A536A1" w:rsidP="000C0635">
      <w:pPr>
        <w:spacing w:before="60" w:after="60"/>
      </w:pPr>
      <w:r>
        <w:tab/>
        <w:t>SO 01-13-016elezniční přejezd železniční přejezd P3937 v km 121,766</w:t>
      </w:r>
    </w:p>
    <w:p w14:paraId="46091F18" w14:textId="030CBB93" w:rsidR="00A536A1" w:rsidRDefault="00A536A1" w:rsidP="000C0635">
      <w:pPr>
        <w:spacing w:before="60" w:after="60"/>
      </w:pPr>
      <w:r>
        <w:tab/>
        <w:t>SO 01-86-08 Přípojka napájení NN železniční přejezd P3937 v km 121,766</w:t>
      </w:r>
    </w:p>
    <w:p w14:paraId="5C7B9C56" w14:textId="77777777" w:rsidR="001B0560" w:rsidRDefault="001B0560" w:rsidP="000C0635">
      <w:pPr>
        <w:pStyle w:val="Nadpis2"/>
        <w:spacing w:after="0"/>
      </w:pPr>
      <w:r>
        <w:t>5)</w:t>
      </w:r>
      <w:r>
        <w:tab/>
        <w:t>Situační schéma přejezdu</w:t>
      </w:r>
    </w:p>
    <w:p w14:paraId="61DE091C" w14:textId="3C1FE06C" w:rsidR="00D20D30" w:rsidRDefault="00162C73" w:rsidP="001B0560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2DF15345" wp14:editId="5EBED8B2">
            <wp:extent cx="5521960" cy="3108960"/>
            <wp:effectExtent l="0" t="0" r="254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47930" cy="312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128A2" w14:textId="77777777" w:rsidR="00F5489D" w:rsidRPr="000C0635" w:rsidRDefault="00F5489D" w:rsidP="000C0635">
      <w:pPr>
        <w:pStyle w:val="Nadpis2"/>
      </w:pPr>
      <w:r w:rsidRPr="000C0635">
        <w:lastRenderedPageBreak/>
        <w:t>6)</w:t>
      </w:r>
      <w:r w:rsidRPr="000C0635">
        <w:tab/>
        <w:t>Územně technické podmínky</w:t>
      </w:r>
    </w:p>
    <w:p w14:paraId="3906D003" w14:textId="4B01E614" w:rsidR="001B0560" w:rsidRPr="000C0635" w:rsidRDefault="001B0560" w:rsidP="000C0635">
      <w:pPr>
        <w:spacing w:before="120" w:after="120"/>
        <w:jc w:val="both"/>
        <w:rPr>
          <w:color w:val="000000" w:themeColor="text1"/>
        </w:rPr>
      </w:pPr>
      <w:r w:rsidRPr="000C0635">
        <w:rPr>
          <w:color w:val="000000" w:themeColor="text1"/>
        </w:rPr>
        <w:t>V rámci stavby „</w:t>
      </w:r>
      <w:r w:rsidR="00C609E5" w:rsidRPr="000C0635">
        <w:rPr>
          <w:color w:val="000000" w:themeColor="text1"/>
        </w:rPr>
        <w:t>Doplnění závor na přejezdu P3</w:t>
      </w:r>
      <w:r w:rsidR="00D20D30" w:rsidRPr="000C0635">
        <w:rPr>
          <w:color w:val="000000" w:themeColor="text1"/>
        </w:rPr>
        <w:t>3937 v km 121,766 trati Hrušovany nad Jevišovkou – Brno – Hor. Heršpice – St. silnice</w:t>
      </w:r>
      <w:r w:rsidRPr="000C0635">
        <w:rPr>
          <w:color w:val="000000" w:themeColor="text1"/>
        </w:rPr>
        <w:t xml:space="preserve">“ budou prováděny pouze technologické úpravy na stávajícím zařízení. Stavební práce proběhnou výlučně </w:t>
      </w:r>
      <w:r w:rsidRPr="000C0635">
        <w:rPr>
          <w:color w:val="000000" w:themeColor="text1"/>
        </w:rPr>
        <w:br/>
        <w:t xml:space="preserve">v prostoru již provozované dráhy. Veškeré práce nebudou mít vliv na okolní prostředí. </w:t>
      </w:r>
      <w:r w:rsidRPr="000C0635">
        <w:rPr>
          <w:color w:val="000000" w:themeColor="text1"/>
        </w:rPr>
        <w:br/>
        <w:t>Stavba neovlivní rozhodujícím způsobem životní prostředí v nejbližším okolí.</w:t>
      </w:r>
    </w:p>
    <w:p w14:paraId="5566D476" w14:textId="77777777" w:rsidR="001B0560" w:rsidRPr="000C0635" w:rsidRDefault="001B0560" w:rsidP="000C0635">
      <w:pPr>
        <w:spacing w:before="120" w:after="120"/>
        <w:jc w:val="both"/>
        <w:rPr>
          <w:color w:val="000000" w:themeColor="text1"/>
        </w:rPr>
      </w:pPr>
      <w:r w:rsidRPr="000C0635">
        <w:rPr>
          <w:color w:val="000000" w:themeColor="text1"/>
        </w:rPr>
        <w:t>Stavba nevyvolává žádné přeložky stávajících inženýrských sítí, nevyvolává omezení dosavadních staveb a ani potřeby kácení zeleně, kromě náletové zeleně.</w:t>
      </w:r>
    </w:p>
    <w:p w14:paraId="64F196BF" w14:textId="77777777" w:rsidR="001B0560" w:rsidRPr="000C0635" w:rsidRDefault="001B0560" w:rsidP="000C0635">
      <w:pPr>
        <w:spacing w:before="120" w:after="120"/>
        <w:jc w:val="both"/>
        <w:rPr>
          <w:color w:val="000000" w:themeColor="text1"/>
        </w:rPr>
      </w:pPr>
      <w:r w:rsidRPr="000C0635">
        <w:rPr>
          <w:color w:val="000000" w:themeColor="text1"/>
        </w:rPr>
        <w:t>Vlastní stavba bude realizována v rozsahu pozemků se způsobem využití dráha, silnice, ostatní komunikace a jiná plocha.</w:t>
      </w:r>
    </w:p>
    <w:p w14:paraId="29441556" w14:textId="77777777" w:rsidR="001B0560" w:rsidRDefault="001B0560" w:rsidP="001B0560">
      <w:pPr>
        <w:pStyle w:val="Nadpis2"/>
      </w:pPr>
      <w:r>
        <w:t>7</w:t>
      </w:r>
      <w:r w:rsidRPr="00331635">
        <w:t>)</w:t>
      </w:r>
      <w:r w:rsidRPr="00331635">
        <w:tab/>
      </w:r>
      <w:r w:rsidRPr="00BE5D5D">
        <w:t>Odhad investičních nákladů včetně jeho zdůvodnění</w:t>
      </w:r>
    </w:p>
    <w:p w14:paraId="33F35E4F" w14:textId="77777777" w:rsidR="001B0560" w:rsidRPr="00213151" w:rsidRDefault="001B0560" w:rsidP="00B91B52">
      <w:pPr>
        <w:spacing w:after="0"/>
      </w:pPr>
    </w:p>
    <w:p w14:paraId="244CE281" w14:textId="77777777" w:rsidR="00213151" w:rsidRPr="00213151" w:rsidRDefault="001B0560" w:rsidP="00213151">
      <w:pPr>
        <w:jc w:val="both"/>
      </w:pPr>
      <w:r w:rsidRPr="00213151">
        <w:t xml:space="preserve">Celkové investiční náklady byly odhadnuty na základě </w:t>
      </w:r>
      <w:r w:rsidR="00213151" w:rsidRPr="00213151">
        <w:rPr>
          <w:i/>
        </w:rPr>
        <w:t>„Sborníku pro oceňování železničních staveb ve stupni studie proveditelnosti a záměr projektu“</w:t>
      </w:r>
      <w:r w:rsidR="00213151" w:rsidRPr="00213151">
        <w:t xml:space="preserve"> (SFDI, schváleno březen 2019). </w:t>
      </w:r>
    </w:p>
    <w:p w14:paraId="46F0A55F" w14:textId="43C2D01A" w:rsidR="00213151" w:rsidRDefault="001B0560" w:rsidP="00A536A1">
      <w:pPr>
        <w:jc w:val="both"/>
        <w:rPr>
          <w:b/>
        </w:rPr>
      </w:pPr>
      <w:r w:rsidRPr="00213151">
        <w:rPr>
          <w:b/>
        </w:rPr>
        <w:t>Celkové investiční náklady</w:t>
      </w:r>
      <w:r w:rsidR="00FC4665">
        <w:rPr>
          <w:b/>
        </w:rPr>
        <w:t xml:space="preserve"> ( CU 2020 – 2023)</w:t>
      </w:r>
    </w:p>
    <w:tbl>
      <w:tblPr>
        <w:tblW w:w="51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1340"/>
      </w:tblGrid>
      <w:tr w:rsidR="00A536A1" w:rsidRPr="00A536A1" w14:paraId="20184A6E" w14:textId="77777777" w:rsidTr="00A536A1">
        <w:trPr>
          <w:trHeight w:val="22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4AF7D0F6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  <w:t>Přehled investičních nákladů:</w:t>
            </w:r>
          </w:p>
        </w:tc>
      </w:tr>
      <w:tr w:rsidR="00A536A1" w:rsidRPr="00A536A1" w14:paraId="28C8805B" w14:textId="77777777" w:rsidTr="00A536A1">
        <w:trPr>
          <w:trHeight w:val="225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5EEC285D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Zařazení nákladů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24D55FCA" w14:textId="77777777" w:rsidR="00A536A1" w:rsidRPr="00A536A1" w:rsidRDefault="00A536A1" w:rsidP="00A536A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Celkové náklady</w:t>
            </w:r>
            <w:r w:rsidRPr="00A536A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br/>
            </w:r>
            <w:r w:rsidRPr="00A536A1">
              <w:rPr>
                <w:rFonts w:ascii="Verdana" w:eastAsia="Times New Roman" w:hAnsi="Verdana" w:cs="Times New Roman"/>
                <w:i/>
                <w:iCs/>
                <w:color w:val="000000"/>
                <w:lang w:eastAsia="cs-CZ"/>
              </w:rPr>
              <w:t>[ Kč ]</w:t>
            </w:r>
          </w:p>
        </w:tc>
      </w:tr>
      <w:tr w:rsidR="00A536A1" w:rsidRPr="00A536A1" w14:paraId="6F12530F" w14:textId="77777777" w:rsidTr="00A536A1">
        <w:trPr>
          <w:trHeight w:val="493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EF0F0D6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C540A0C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A536A1" w:rsidRPr="00A536A1" w14:paraId="0E35C9DF" w14:textId="77777777" w:rsidTr="00A536A1">
        <w:trPr>
          <w:trHeight w:val="240"/>
        </w:trPr>
        <w:tc>
          <w:tcPr>
            <w:tcW w:w="380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096B73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1. Poplatky za plány/stavební projekt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BDE23" w14:textId="26B32315" w:rsidR="00A536A1" w:rsidRPr="00A536A1" w:rsidRDefault="00A536A1" w:rsidP="00823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432632FE" w14:textId="77777777" w:rsidTr="00A536A1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8E2BBB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2. Nákup pozemků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075DC" w14:textId="77777777" w:rsidR="00A536A1" w:rsidRPr="00A536A1" w:rsidRDefault="00A536A1" w:rsidP="00A536A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7AE95B6F" w14:textId="77777777" w:rsidTr="00A536A1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7F0B59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3. Výstavba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31D57" w14:textId="5FB1B736" w:rsidR="00A536A1" w:rsidRPr="00A536A1" w:rsidRDefault="008237FD" w:rsidP="00823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66C32BAB" w14:textId="77777777" w:rsidTr="00A536A1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65A071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4. Stroje a zařízení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8F748" w14:textId="77777777" w:rsidR="00A536A1" w:rsidRPr="00A536A1" w:rsidRDefault="00A536A1" w:rsidP="00A536A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672FB3AF" w14:textId="77777777" w:rsidTr="00A536A1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6F26E5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5. Nepředvídatelné události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0EFD" w14:textId="762041B4" w:rsidR="00A536A1" w:rsidRPr="00A536A1" w:rsidRDefault="008237FD" w:rsidP="00823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2A0B5559" w14:textId="77777777" w:rsidTr="00A536A1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0D2E1F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6. Úprava ceny (v případě potřeby)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242C" w14:textId="77777777" w:rsidR="00A536A1" w:rsidRPr="00A536A1" w:rsidRDefault="00A536A1" w:rsidP="00A536A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03FDFD89" w14:textId="77777777" w:rsidTr="00A536A1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D5F500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7. Propagace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4C749" w14:textId="77777777" w:rsidR="00A536A1" w:rsidRPr="00A536A1" w:rsidRDefault="00A536A1" w:rsidP="00A536A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3CDBE5EB" w14:textId="77777777" w:rsidTr="00A536A1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F42538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8. Dozor v průběhu výstavby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4B4E0" w14:textId="4AAD1D08" w:rsidR="00A536A1" w:rsidRPr="00A536A1" w:rsidRDefault="00A536A1" w:rsidP="00823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06032D1E" w14:textId="77777777" w:rsidTr="00A536A1">
        <w:trPr>
          <w:trHeight w:val="24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03B77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9. Technická pomoc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62EEE" w14:textId="457DD4C9" w:rsidR="00A536A1" w:rsidRPr="00A536A1" w:rsidRDefault="008237FD" w:rsidP="00823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5EC9636A" w14:textId="77777777" w:rsidTr="00A536A1">
        <w:trPr>
          <w:trHeight w:val="255"/>
        </w:trPr>
        <w:tc>
          <w:tcPr>
            <w:tcW w:w="3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000000"/>
            </w:tcBorders>
            <w:shd w:val="clear" w:color="000000" w:fill="ACB9CA"/>
            <w:vAlign w:val="center"/>
            <w:hideMark/>
          </w:tcPr>
          <w:p w14:paraId="42E68468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10. Mezisoučet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20725F94" w14:textId="00CBA01F" w:rsidR="00A536A1" w:rsidRPr="00A536A1" w:rsidRDefault="008237FD" w:rsidP="00823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  <w:tr w:rsidR="00A536A1" w:rsidRPr="00A536A1" w14:paraId="693F2EBA" w14:textId="77777777" w:rsidTr="00A536A1">
        <w:trPr>
          <w:trHeight w:val="240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7D19E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color w:val="000000"/>
                <w:lang w:eastAsia="cs-CZ"/>
              </w:rPr>
              <w:t>11. DPH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7AC2" w14:textId="472C45E1" w:rsidR="00A536A1" w:rsidRPr="00A536A1" w:rsidRDefault="008237FD" w:rsidP="00823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A536A1" w:rsidRPr="00A536A1" w14:paraId="47DA9102" w14:textId="77777777" w:rsidTr="00A536A1">
        <w:trPr>
          <w:trHeight w:val="225"/>
        </w:trPr>
        <w:tc>
          <w:tcPr>
            <w:tcW w:w="3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CB9CA"/>
            <w:vAlign w:val="center"/>
            <w:hideMark/>
          </w:tcPr>
          <w:p w14:paraId="37F09600" w14:textId="77777777" w:rsidR="00A536A1" w:rsidRPr="00A536A1" w:rsidRDefault="00A536A1" w:rsidP="00A536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A536A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12. CELKEM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23B73E37" w14:textId="4FF2F906" w:rsidR="00A536A1" w:rsidRPr="00A536A1" w:rsidRDefault="008237FD" w:rsidP="00823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</w:tbl>
    <w:p w14:paraId="7725B1B9" w14:textId="77777777" w:rsidR="00A536A1" w:rsidRPr="00213151" w:rsidRDefault="00A536A1" w:rsidP="00A536A1">
      <w:pPr>
        <w:jc w:val="both"/>
      </w:pPr>
    </w:p>
    <w:p w14:paraId="02DA9B4A" w14:textId="22DEAF8B" w:rsidR="001B0560" w:rsidRPr="00213151" w:rsidRDefault="001B0560" w:rsidP="00D20D30">
      <w:pPr>
        <w:spacing w:after="0"/>
        <w:jc w:val="both"/>
      </w:pPr>
      <w:r w:rsidRPr="00213151">
        <w:t xml:space="preserve">Do celkových investičních nákladů je zahrnut inflační koeficient ve výši </w:t>
      </w:r>
      <w:r w:rsidR="00213151" w:rsidRPr="00213151">
        <w:t>3,7</w:t>
      </w:r>
      <w:r w:rsidR="00FF143E" w:rsidRPr="00213151">
        <w:t> </w:t>
      </w:r>
      <w:r w:rsidRPr="00213151">
        <w:t>% p. a. v letech realizace 202</w:t>
      </w:r>
      <w:r w:rsidR="00C609E5" w:rsidRPr="00213151">
        <w:t>2</w:t>
      </w:r>
      <w:r w:rsidRPr="00213151">
        <w:t>.</w:t>
      </w:r>
    </w:p>
    <w:p w14:paraId="52FEE1A3" w14:textId="77777777" w:rsidR="00D20D30" w:rsidRDefault="00D20D30" w:rsidP="00D20D30">
      <w:pPr>
        <w:spacing w:after="0"/>
        <w:jc w:val="both"/>
      </w:pPr>
    </w:p>
    <w:p w14:paraId="178412FE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  <w:bookmarkStart w:id="0" w:name="_GoBack"/>
      <w:bookmarkEnd w:id="0"/>
    </w:p>
    <w:p w14:paraId="40D95B17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6D885067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7DEA8106" w14:textId="7C3095B8" w:rsidR="001B0560" w:rsidRDefault="001B0560" w:rsidP="00213151">
      <w:pPr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</w:t>
      </w:r>
      <w:r>
        <w:lastRenderedPageBreak/>
        <w:t>i</w:t>
      </w:r>
      <w:r w:rsidR="007567B9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 </w:t>
      </w:r>
      <w:r w:rsidR="00213151" w:rsidRPr="00213151">
        <w:t>Posuzovaná stavba spadá do stavby ke zvýšení bezpečnosti úrovňových železničních přejezdů a svým charakterem představuje rekonstrukci, kterou se odstraňují účinky celkového fyzického opotřebení nebo degradace v 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 15. 11. 2017 – bod IV. Odlišné postupy, bod 2, písmeno o).</w:t>
      </w:r>
    </w:p>
    <w:p w14:paraId="44AF5E3B" w14:textId="77777777" w:rsidR="00213151" w:rsidRDefault="00213151" w:rsidP="00213151">
      <w:pPr>
        <w:jc w:val="both"/>
      </w:pPr>
    </w:p>
    <w:p w14:paraId="2864B61F" w14:textId="77777777" w:rsidR="001B0560" w:rsidRDefault="001B0560" w:rsidP="001B0560">
      <w:pPr>
        <w:pStyle w:val="Nadpis4"/>
      </w:pPr>
      <w:r>
        <w:t>Stanovení cílů - Přínosy stavby</w:t>
      </w:r>
    </w:p>
    <w:p w14:paraId="3AAB8F51" w14:textId="592B2226" w:rsidR="001B0560" w:rsidRDefault="001B0560" w:rsidP="001B0560">
      <w:pPr>
        <w:jc w:val="both"/>
      </w:pPr>
      <w:r>
        <w:t>Zabezpečovací zařízení se závorami výrazně zvýší bezpečnost železniční i silniční dopravy a</w:t>
      </w:r>
      <w:r w:rsidR="007567B9">
        <w:t> </w:t>
      </w:r>
      <w:r w:rsidRPr="00213151">
        <w:t xml:space="preserve">bude tak předcházet vzniku mimořádných událostí. (na přejezdu jsou od roku </w:t>
      </w:r>
      <w:r w:rsidR="003B60E3" w:rsidRPr="00213151">
        <w:t>2000</w:t>
      </w:r>
      <w:r w:rsidR="00D20D30" w:rsidRPr="00213151">
        <w:t xml:space="preserve"> evidovány </w:t>
      </w:r>
      <w:r w:rsidR="003B60E3" w:rsidRPr="00213151">
        <w:t>2</w:t>
      </w:r>
      <w:r w:rsidRPr="00213151">
        <w:t xml:space="preserve"> nehody)</w:t>
      </w:r>
    </w:p>
    <w:p w14:paraId="62A5D7E9" w14:textId="77777777" w:rsidR="001B0560" w:rsidRDefault="001B0560" w:rsidP="001B0560">
      <w:pPr>
        <w:pStyle w:val="Nadpis4"/>
      </w:pPr>
      <w:r>
        <w:t>Návrh možných variant řešení</w:t>
      </w:r>
    </w:p>
    <w:p w14:paraId="0F58FC69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3D7F7CC" w14:textId="77777777" w:rsidR="001B0560" w:rsidRDefault="001B0560" w:rsidP="001B0560">
      <w:pPr>
        <w:pStyle w:val="Nadpis4"/>
      </w:pPr>
      <w:r>
        <w:t>Posouzení variant řešení</w:t>
      </w:r>
    </w:p>
    <w:p w14:paraId="6F4A3B07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DC7674B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35D2638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63408C6D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3E582AC2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576D234D" w14:textId="77777777" w:rsidR="001B0560" w:rsidRDefault="001B0560" w:rsidP="001B0560">
      <w:pPr>
        <w:jc w:val="both"/>
      </w:pPr>
      <w:r>
        <w:t>1. Technická a legislativní naléhavost</w:t>
      </w:r>
    </w:p>
    <w:p w14:paraId="10F01E1D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66BFE98B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6B6F5D60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0B8F4CF1" w14:textId="3C13558B" w:rsidR="00B734B3" w:rsidRDefault="001B0560" w:rsidP="00B734B3">
      <w:pPr>
        <w:pStyle w:val="Odstavecseseznamem"/>
        <w:numPr>
          <w:ilvl w:val="0"/>
          <w:numId w:val="36"/>
        </w:numPr>
        <w:jc w:val="both"/>
      </w:pPr>
      <w:r>
        <w:t>výhledový stav – zabezpečovací zařízení bude nově nadále ovládáno automaticky jízdou kolejových vozidel</w:t>
      </w:r>
      <w:r w:rsidR="00B734B3">
        <w:t xml:space="preserve"> s indikacemi a ovládáním ze </w:t>
      </w:r>
      <w:r w:rsidR="00B734B3" w:rsidRPr="003D1F4D">
        <w:t xml:space="preserve">žst. </w:t>
      </w:r>
      <w:r w:rsidR="00B734B3">
        <w:t>Moravský Krumlov.</w:t>
      </w:r>
    </w:p>
    <w:p w14:paraId="74C8E6BE" w14:textId="1F15677C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</w:t>
      </w:r>
      <w:r w:rsidR="00C619B2">
        <w:t>ticky jízdou kolejových vozidel</w:t>
      </w:r>
      <w:r w:rsidR="00B734B3">
        <w:t xml:space="preserve"> s indikacemi a ovládáním ze </w:t>
      </w:r>
      <w:r w:rsidR="00B734B3" w:rsidRPr="003D1F4D">
        <w:t xml:space="preserve">žst. </w:t>
      </w:r>
      <w:r w:rsidR="00B734B3">
        <w:t>Moravský Krumlov.</w:t>
      </w:r>
    </w:p>
    <w:p w14:paraId="5A490773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3EAFAD81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lastRenderedPageBreak/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74A008D3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současný stav – současné zabezpečení přejezdu je bez závor a s počtem výstražníků ve výši dvou.</w:t>
      </w:r>
    </w:p>
    <w:p w14:paraId="3A7F7420" w14:textId="77777777" w:rsidR="001B0560" w:rsidRDefault="001B0560" w:rsidP="001B0560">
      <w:pPr>
        <w:jc w:val="both"/>
      </w:pPr>
      <w:r>
        <w:t>4. Zajištění plynulosti dopravy</w:t>
      </w:r>
    </w:p>
    <w:p w14:paraId="4696B1A3" w14:textId="180FD516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 xml:space="preserve">výhledový stav – </w:t>
      </w:r>
      <w:r w:rsidRPr="00DC77D2">
        <w:t xml:space="preserve">po instalaci nového zabezpečovacího zařízení zůstane zachována stávající rychlost průjezdu přes přejezd </w:t>
      </w:r>
      <w:r w:rsidR="00436D83" w:rsidRPr="00436D83">
        <w:t>3</w:t>
      </w:r>
      <w:r w:rsidR="00162C73" w:rsidRPr="00436D83">
        <w:t>0 km/h</w:t>
      </w:r>
      <w:r w:rsidR="00436D83" w:rsidRPr="00436D83">
        <w:t>.</w:t>
      </w:r>
      <w:r w:rsidR="00162C73" w:rsidRPr="00436D83">
        <w:t xml:space="preserve"> </w:t>
      </w:r>
    </w:p>
    <w:p w14:paraId="1E299508" w14:textId="77777777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>současný stav – i bez realizace projektu zůstanou parametry pro projíždějící silniční vozidla zachovány.</w:t>
      </w:r>
    </w:p>
    <w:p w14:paraId="3C470D14" w14:textId="77777777" w:rsidR="001B0560" w:rsidRDefault="001B0560" w:rsidP="001B0560">
      <w:pPr>
        <w:jc w:val="both"/>
      </w:pPr>
      <w:r>
        <w:t>5. Přínosnost varianty z hlediska vynaložených nákladů</w:t>
      </w:r>
    </w:p>
    <w:p w14:paraId="0CCD8273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43122282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Současný stav – s jeho zachováním nejsou spojeny investiční náklady.</w:t>
      </w:r>
    </w:p>
    <w:p w14:paraId="29C2BFED" w14:textId="77777777" w:rsidR="001B0560" w:rsidRDefault="001B0560" w:rsidP="001B0560">
      <w:pPr>
        <w:jc w:val="both"/>
      </w:pPr>
      <w:r>
        <w:t>6. Energetická náročnost stavby</w:t>
      </w:r>
    </w:p>
    <w:p w14:paraId="2F49B3C0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39819F9F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3CD56C8E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62B25C99" w14:textId="77777777" w:rsidR="001B0560" w:rsidRDefault="001B0560" w:rsidP="001B0560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6F9751B1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1B25D3A9" w14:textId="77777777" w:rsidR="001B0560" w:rsidRDefault="001B0560" w:rsidP="00B91B52">
      <w:pPr>
        <w:spacing w:after="0"/>
      </w:pPr>
    </w:p>
    <w:p w14:paraId="1535C4A7" w14:textId="59355F8C" w:rsidR="001B0560" w:rsidRPr="00F44C5C" w:rsidRDefault="001B0560" w:rsidP="001B0560">
      <w:r w:rsidRPr="00694384">
        <w:t xml:space="preserve">Tato zjednodušená dokumentace ve stádiu 2 slouží jako podklad pro schválení investiční akce </w:t>
      </w:r>
      <w:r w:rsidRPr="00F44C5C">
        <w:t xml:space="preserve">malého rozsahu v rámci </w:t>
      </w:r>
      <w:r w:rsidR="00C609E5" w:rsidRPr="00F44C5C">
        <w:t>Správy železnic</w:t>
      </w:r>
      <w:r w:rsidR="00694384" w:rsidRPr="00F44C5C">
        <w:t>, státní organizace</w:t>
      </w:r>
    </w:p>
    <w:p w14:paraId="4AC5EE5E" w14:textId="20995271" w:rsidR="001B0560" w:rsidRPr="00F44C5C" w:rsidRDefault="001B0560" w:rsidP="001B0560">
      <w:r w:rsidRPr="00F44C5C">
        <w:t xml:space="preserve">Dne: </w:t>
      </w:r>
      <w:r w:rsidR="00694384" w:rsidRPr="00F44C5C">
        <w:t>27. 10.</w:t>
      </w:r>
      <w:r w:rsidRPr="00F44C5C">
        <w:t xml:space="preserve"> 20</w:t>
      </w:r>
      <w:r w:rsidR="00C609E5" w:rsidRPr="00F44C5C">
        <w:t>20</w:t>
      </w:r>
    </w:p>
    <w:p w14:paraId="265672BA" w14:textId="7FE74742" w:rsidR="001B0560" w:rsidRPr="00F44C5C" w:rsidRDefault="001B0560" w:rsidP="001B0560">
      <w:r w:rsidRPr="00F44C5C">
        <w:t xml:space="preserve">Vypracoval: kolektiv </w:t>
      </w:r>
      <w:r w:rsidR="00C609E5" w:rsidRPr="00F44C5C">
        <w:t>Správy železnic</w:t>
      </w:r>
      <w:r w:rsidRPr="00F44C5C">
        <w:t xml:space="preserve">, </w:t>
      </w:r>
      <w:r w:rsidR="00694384" w:rsidRPr="00F44C5C">
        <w:t>Oblastní ředitelství Brno</w:t>
      </w:r>
    </w:p>
    <w:p w14:paraId="5D7C1698" w14:textId="77777777" w:rsidR="001B0560" w:rsidRDefault="001B0560" w:rsidP="001B0560"/>
    <w:p w14:paraId="7C7BBAED" w14:textId="71DFDA66" w:rsidR="001B0560" w:rsidRDefault="001B0560" w:rsidP="001B0560">
      <w:pPr>
        <w:pStyle w:val="Nadpis4"/>
      </w:pPr>
      <w:r w:rsidRPr="00B45E9E">
        <w:t>Přílohy</w:t>
      </w:r>
      <w:r w:rsidR="00F44C5C">
        <w:t>:</w:t>
      </w:r>
    </w:p>
    <w:p w14:paraId="31BF2403" w14:textId="1F4B9001" w:rsidR="009F392E" w:rsidRPr="001B0560" w:rsidRDefault="00F44C5C" w:rsidP="00F44C5C">
      <w:r>
        <w:t>Bez přílohy</w:t>
      </w:r>
    </w:p>
    <w:sectPr w:rsidR="009F392E" w:rsidRPr="001B0560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97E39" w14:textId="77777777" w:rsidR="00706716" w:rsidRDefault="00706716" w:rsidP="00962258">
      <w:pPr>
        <w:spacing w:after="0" w:line="240" w:lineRule="auto"/>
      </w:pPr>
      <w:r>
        <w:separator/>
      </w:r>
    </w:p>
  </w:endnote>
  <w:endnote w:type="continuationSeparator" w:id="0">
    <w:p w14:paraId="2D81E875" w14:textId="77777777" w:rsidR="00706716" w:rsidRDefault="007067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0FC8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E1CF1E" w14:textId="4E065E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2D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2DA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D383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6E314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662114" w14:textId="77777777" w:rsidR="00F1715C" w:rsidRDefault="00F1715C" w:rsidP="00D831A3">
          <w:pPr>
            <w:pStyle w:val="Zpat"/>
          </w:pPr>
        </w:p>
      </w:tc>
    </w:tr>
  </w:tbl>
  <w:p w14:paraId="3B8793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1A9DF" wp14:editId="174E7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4B0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E4E8F" wp14:editId="40889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EFF2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A983A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CA158" w14:textId="3020045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2D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2DA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A67E6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14C93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BDE4A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CF97EF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8778E8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A362D35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B710452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39BFB53A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CFE99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36504E" wp14:editId="37B3A2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C78B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7ED2E4" wp14:editId="796D38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8E201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608D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C1536" w14:textId="77777777" w:rsidR="00706716" w:rsidRDefault="00706716" w:rsidP="00962258">
      <w:pPr>
        <w:spacing w:after="0" w:line="240" w:lineRule="auto"/>
      </w:pPr>
      <w:r>
        <w:separator/>
      </w:r>
    </w:p>
  </w:footnote>
  <w:footnote w:type="continuationSeparator" w:id="0">
    <w:p w14:paraId="7603E282" w14:textId="77777777" w:rsidR="00706716" w:rsidRDefault="007067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7977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CFEEA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03B0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9F6F31" w14:textId="77777777" w:rsidR="00F1715C" w:rsidRPr="00D6163D" w:rsidRDefault="00F1715C" w:rsidP="00D6163D">
          <w:pPr>
            <w:pStyle w:val="Druhdokumentu"/>
          </w:pPr>
        </w:p>
      </w:tc>
    </w:tr>
  </w:tbl>
  <w:p w14:paraId="0EE870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8684B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752D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D03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812C1F" w14:textId="77777777" w:rsidR="00F1715C" w:rsidRPr="00D6163D" w:rsidRDefault="00F1715C" w:rsidP="00FC6389">
          <w:pPr>
            <w:pStyle w:val="Druhdokumentu"/>
          </w:pPr>
        </w:p>
      </w:tc>
    </w:tr>
    <w:tr w:rsidR="009F392E" w14:paraId="1051FF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D55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E8584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900D10" w14:textId="77777777" w:rsidR="009F392E" w:rsidRPr="00D6163D" w:rsidRDefault="009F392E" w:rsidP="00FC6389">
          <w:pPr>
            <w:pStyle w:val="Druhdokumentu"/>
          </w:pPr>
        </w:p>
      </w:tc>
    </w:tr>
  </w:tbl>
  <w:p w14:paraId="34C9B45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51149E" wp14:editId="0B90CDD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190F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60"/>
    <w:rsid w:val="00072C1E"/>
    <w:rsid w:val="00075695"/>
    <w:rsid w:val="00090DEE"/>
    <w:rsid w:val="0009765C"/>
    <w:rsid w:val="000C0635"/>
    <w:rsid w:val="000E23A7"/>
    <w:rsid w:val="00103B77"/>
    <w:rsid w:val="0010693F"/>
    <w:rsid w:val="001125C6"/>
    <w:rsid w:val="00114472"/>
    <w:rsid w:val="001313DE"/>
    <w:rsid w:val="001550BC"/>
    <w:rsid w:val="001602EC"/>
    <w:rsid w:val="001605B9"/>
    <w:rsid w:val="00162C73"/>
    <w:rsid w:val="00170EC5"/>
    <w:rsid w:val="001747C1"/>
    <w:rsid w:val="00184743"/>
    <w:rsid w:val="00197633"/>
    <w:rsid w:val="001A606B"/>
    <w:rsid w:val="001B0560"/>
    <w:rsid w:val="001C1EE9"/>
    <w:rsid w:val="001F2EA7"/>
    <w:rsid w:val="001F5643"/>
    <w:rsid w:val="00207DF5"/>
    <w:rsid w:val="00213151"/>
    <w:rsid w:val="00216FB9"/>
    <w:rsid w:val="00234744"/>
    <w:rsid w:val="002414E1"/>
    <w:rsid w:val="00243DD8"/>
    <w:rsid w:val="00280E07"/>
    <w:rsid w:val="0029200A"/>
    <w:rsid w:val="002C31BF"/>
    <w:rsid w:val="002D08B1"/>
    <w:rsid w:val="002E0CD7"/>
    <w:rsid w:val="002E3F18"/>
    <w:rsid w:val="002F5C88"/>
    <w:rsid w:val="00341CF8"/>
    <w:rsid w:val="00341DCF"/>
    <w:rsid w:val="0034766A"/>
    <w:rsid w:val="00357BC6"/>
    <w:rsid w:val="00392F4A"/>
    <w:rsid w:val="003956C6"/>
    <w:rsid w:val="003B60E3"/>
    <w:rsid w:val="00431065"/>
    <w:rsid w:val="004349BE"/>
    <w:rsid w:val="00436D83"/>
    <w:rsid w:val="00441430"/>
    <w:rsid w:val="00450F07"/>
    <w:rsid w:val="00453CD3"/>
    <w:rsid w:val="00456CF9"/>
    <w:rsid w:val="00460660"/>
    <w:rsid w:val="00474D32"/>
    <w:rsid w:val="004772B7"/>
    <w:rsid w:val="00486107"/>
    <w:rsid w:val="00491827"/>
    <w:rsid w:val="00492DD9"/>
    <w:rsid w:val="004B348C"/>
    <w:rsid w:val="004C1B79"/>
    <w:rsid w:val="004C4399"/>
    <w:rsid w:val="004C787C"/>
    <w:rsid w:val="004D3915"/>
    <w:rsid w:val="004E0752"/>
    <w:rsid w:val="004E143C"/>
    <w:rsid w:val="004E3A53"/>
    <w:rsid w:val="004F20BC"/>
    <w:rsid w:val="004F4B9B"/>
    <w:rsid w:val="004F69EA"/>
    <w:rsid w:val="00501059"/>
    <w:rsid w:val="00511AB9"/>
    <w:rsid w:val="00523EA7"/>
    <w:rsid w:val="00524CA7"/>
    <w:rsid w:val="00551987"/>
    <w:rsid w:val="00553375"/>
    <w:rsid w:val="00557C28"/>
    <w:rsid w:val="005667DB"/>
    <w:rsid w:val="005736B7"/>
    <w:rsid w:val="00574287"/>
    <w:rsid w:val="00575E5A"/>
    <w:rsid w:val="005834B0"/>
    <w:rsid w:val="005C2B5E"/>
    <w:rsid w:val="005D1EC0"/>
    <w:rsid w:val="005F1404"/>
    <w:rsid w:val="0061068E"/>
    <w:rsid w:val="0064506A"/>
    <w:rsid w:val="00651BFE"/>
    <w:rsid w:val="00660AD3"/>
    <w:rsid w:val="00677B7F"/>
    <w:rsid w:val="00694384"/>
    <w:rsid w:val="006A5570"/>
    <w:rsid w:val="006A689C"/>
    <w:rsid w:val="006B3D79"/>
    <w:rsid w:val="006C07BE"/>
    <w:rsid w:val="006D6164"/>
    <w:rsid w:val="006D7AFE"/>
    <w:rsid w:val="006E0578"/>
    <w:rsid w:val="006E314D"/>
    <w:rsid w:val="007062FE"/>
    <w:rsid w:val="00706716"/>
    <w:rsid w:val="00710723"/>
    <w:rsid w:val="00723ED1"/>
    <w:rsid w:val="00743525"/>
    <w:rsid w:val="007567B9"/>
    <w:rsid w:val="0076286B"/>
    <w:rsid w:val="00766846"/>
    <w:rsid w:val="0077111F"/>
    <w:rsid w:val="0077673A"/>
    <w:rsid w:val="007846E1"/>
    <w:rsid w:val="007B570C"/>
    <w:rsid w:val="007C589B"/>
    <w:rsid w:val="007E4A6E"/>
    <w:rsid w:val="007F56A7"/>
    <w:rsid w:val="00805DB5"/>
    <w:rsid w:val="008069F3"/>
    <w:rsid w:val="00807DD0"/>
    <w:rsid w:val="008237FD"/>
    <w:rsid w:val="008659F3"/>
    <w:rsid w:val="00886D4B"/>
    <w:rsid w:val="00895406"/>
    <w:rsid w:val="008A3568"/>
    <w:rsid w:val="008D03B9"/>
    <w:rsid w:val="008F18D6"/>
    <w:rsid w:val="00904780"/>
    <w:rsid w:val="00913E44"/>
    <w:rsid w:val="00922385"/>
    <w:rsid w:val="009223DF"/>
    <w:rsid w:val="00923DE9"/>
    <w:rsid w:val="00932D7C"/>
    <w:rsid w:val="00936091"/>
    <w:rsid w:val="00940D8A"/>
    <w:rsid w:val="00962258"/>
    <w:rsid w:val="009678B7"/>
    <w:rsid w:val="009833E1"/>
    <w:rsid w:val="00992D9C"/>
    <w:rsid w:val="009934C0"/>
    <w:rsid w:val="00996CB8"/>
    <w:rsid w:val="009A0F67"/>
    <w:rsid w:val="009A2F80"/>
    <w:rsid w:val="009B14A9"/>
    <w:rsid w:val="009B2E97"/>
    <w:rsid w:val="009E07F4"/>
    <w:rsid w:val="009F392E"/>
    <w:rsid w:val="00A27C76"/>
    <w:rsid w:val="00A536A1"/>
    <w:rsid w:val="00A6177B"/>
    <w:rsid w:val="00A66136"/>
    <w:rsid w:val="00AA4CBB"/>
    <w:rsid w:val="00AA65FA"/>
    <w:rsid w:val="00AA7351"/>
    <w:rsid w:val="00AA78CD"/>
    <w:rsid w:val="00AD056F"/>
    <w:rsid w:val="00AD1F2D"/>
    <w:rsid w:val="00AD6731"/>
    <w:rsid w:val="00AE00DC"/>
    <w:rsid w:val="00AF760B"/>
    <w:rsid w:val="00B15D0D"/>
    <w:rsid w:val="00B32DA5"/>
    <w:rsid w:val="00B406A7"/>
    <w:rsid w:val="00B734B3"/>
    <w:rsid w:val="00B75EE1"/>
    <w:rsid w:val="00B77481"/>
    <w:rsid w:val="00B8048F"/>
    <w:rsid w:val="00B8518B"/>
    <w:rsid w:val="00B91B52"/>
    <w:rsid w:val="00BB68D1"/>
    <w:rsid w:val="00BD7E91"/>
    <w:rsid w:val="00BF1C86"/>
    <w:rsid w:val="00C02D0A"/>
    <w:rsid w:val="00C03A6E"/>
    <w:rsid w:val="00C44F6A"/>
    <w:rsid w:val="00C45540"/>
    <w:rsid w:val="00C47AE3"/>
    <w:rsid w:val="00C609E5"/>
    <w:rsid w:val="00C619B2"/>
    <w:rsid w:val="00CA138B"/>
    <w:rsid w:val="00CA6FE4"/>
    <w:rsid w:val="00CD1FC4"/>
    <w:rsid w:val="00D20D30"/>
    <w:rsid w:val="00D21061"/>
    <w:rsid w:val="00D4108E"/>
    <w:rsid w:val="00D6163D"/>
    <w:rsid w:val="00D73D46"/>
    <w:rsid w:val="00D7415B"/>
    <w:rsid w:val="00D831A3"/>
    <w:rsid w:val="00D94D7D"/>
    <w:rsid w:val="00DA7DC8"/>
    <w:rsid w:val="00DC75F3"/>
    <w:rsid w:val="00DD0B3E"/>
    <w:rsid w:val="00DD46F3"/>
    <w:rsid w:val="00DE56F2"/>
    <w:rsid w:val="00DF116D"/>
    <w:rsid w:val="00DF30D2"/>
    <w:rsid w:val="00E1085B"/>
    <w:rsid w:val="00E34FF3"/>
    <w:rsid w:val="00E943CB"/>
    <w:rsid w:val="00EB104F"/>
    <w:rsid w:val="00ED14BD"/>
    <w:rsid w:val="00F0533E"/>
    <w:rsid w:val="00F0651C"/>
    <w:rsid w:val="00F1048D"/>
    <w:rsid w:val="00F12DEC"/>
    <w:rsid w:val="00F1715C"/>
    <w:rsid w:val="00F310F8"/>
    <w:rsid w:val="00F315B2"/>
    <w:rsid w:val="00F35939"/>
    <w:rsid w:val="00F44C5C"/>
    <w:rsid w:val="00F45607"/>
    <w:rsid w:val="00F5489D"/>
    <w:rsid w:val="00F5558F"/>
    <w:rsid w:val="00F659EB"/>
    <w:rsid w:val="00F86BA6"/>
    <w:rsid w:val="00F9200F"/>
    <w:rsid w:val="00FC4665"/>
    <w:rsid w:val="00FC6389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23D95C"/>
  <w14:defaultImageDpi w14:val="32767"/>
  <w15:docId w15:val="{87D68C9F-4CF9-4CCA-8E81-AD95E3C4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F5C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C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C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C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4%20Moje%20p&#345;ejezdy%20-%20Zjed.dok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73B0B5-DA50-45D5-B69F-6153D4C72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název.dotx</Template>
  <TotalTime>18</TotalTime>
  <Pages>6</Pages>
  <Words>2032</Words>
  <Characters>11991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 Jakub, Ing.</dc:creator>
  <cp:lastModifiedBy>Majerová Renáta</cp:lastModifiedBy>
  <cp:revision>7</cp:revision>
  <cp:lastPrinted>2017-11-28T17:18:00Z</cp:lastPrinted>
  <dcterms:created xsi:type="dcterms:W3CDTF">2020-11-12T11:28:00Z</dcterms:created>
  <dcterms:modified xsi:type="dcterms:W3CDTF">2021-02-15T07:42:00Z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